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97E38" w14:textId="77777777" w:rsidR="00D63453" w:rsidRPr="00E73086" w:rsidRDefault="00D63453" w:rsidP="00D634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086">
        <w:rPr>
          <w:rFonts w:ascii="Times New Roman" w:hAnsi="Times New Roman" w:cs="Times New Roman"/>
          <w:b/>
          <w:sz w:val="28"/>
          <w:szCs w:val="28"/>
        </w:rPr>
        <w:t>Материалы для педагогов.</w:t>
      </w:r>
    </w:p>
    <w:p w14:paraId="373C198A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Педагоги должны быть грамотны в </w:t>
      </w:r>
      <w:r>
        <w:rPr>
          <w:rFonts w:ascii="Times New Roman" w:hAnsi="Times New Roman" w:cs="Times New Roman"/>
          <w:sz w:val="24"/>
          <w:szCs w:val="24"/>
        </w:rPr>
        <w:t xml:space="preserve">вопросах не только возрастных </w:t>
      </w:r>
      <w:r w:rsidRPr="00167D89">
        <w:rPr>
          <w:rFonts w:ascii="Times New Roman" w:hAnsi="Times New Roman" w:cs="Times New Roman"/>
          <w:sz w:val="24"/>
          <w:szCs w:val="24"/>
        </w:rPr>
        <w:t>и физиологических особенностей детей своей группы, но и знать особенности познавательной сферы мальчиков и девочек.</w:t>
      </w:r>
    </w:p>
    <w:p w14:paraId="17AC8BE4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При подготовке к занятиям педагог должен продумать следующие моменты:</w:t>
      </w:r>
    </w:p>
    <w:p w14:paraId="517F6B9D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а) пути решения познавательной задачи должны носить как информационный, так и исследовательский характер;</w:t>
      </w:r>
    </w:p>
    <w:p w14:paraId="2050524F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б) продумывать вопросы к занятию, учитывая особенности детей разного пола;</w:t>
      </w:r>
    </w:p>
    <w:p w14:paraId="4472663C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в) использовать больше наглядн</w:t>
      </w:r>
      <w:r>
        <w:rPr>
          <w:rFonts w:ascii="Times New Roman" w:hAnsi="Times New Roman" w:cs="Times New Roman"/>
          <w:sz w:val="24"/>
          <w:szCs w:val="24"/>
        </w:rPr>
        <w:t>ости на занятиях, так как</w:t>
      </w:r>
      <w:r w:rsidRPr="00167D89">
        <w:rPr>
          <w:rFonts w:ascii="Times New Roman" w:hAnsi="Times New Roman" w:cs="Times New Roman"/>
          <w:sz w:val="24"/>
          <w:szCs w:val="24"/>
        </w:rPr>
        <w:t xml:space="preserve"> это важно для мальчиков;</w:t>
      </w:r>
    </w:p>
    <w:p w14:paraId="73C8D4D9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г) использовать проблемные ситуации на занятиях, помнить, что для девочек важны ситуации развивающего характера, чтобы найти другой способ или вариант решения, а для мальчиков – ситуации поискового характера.</w:t>
      </w:r>
    </w:p>
    <w:p w14:paraId="7A9A8CDA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 xml:space="preserve">д) </w:t>
      </w:r>
      <w:r>
        <w:rPr>
          <w:rFonts w:ascii="Times New Roman" w:hAnsi="Times New Roman" w:cs="Times New Roman"/>
          <w:sz w:val="24"/>
          <w:szCs w:val="24"/>
        </w:rPr>
        <w:t>проводить КВН, викторины типа «А ну-ка мальчики!», «А ну-</w:t>
      </w:r>
      <w:r w:rsidRPr="00167D89">
        <w:rPr>
          <w:rFonts w:ascii="Times New Roman" w:hAnsi="Times New Roman" w:cs="Times New Roman"/>
          <w:sz w:val="24"/>
          <w:szCs w:val="24"/>
        </w:rPr>
        <w:t>ка девочки!»</w:t>
      </w:r>
    </w:p>
    <w:p w14:paraId="161A8980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е) при обучении новому материалу разделять детей на подгруппы: мальчики и девочки, рассаживать детей на занятии: маль</w:t>
      </w:r>
      <w:r>
        <w:rPr>
          <w:rFonts w:ascii="Times New Roman" w:hAnsi="Times New Roman" w:cs="Times New Roman"/>
          <w:sz w:val="24"/>
          <w:szCs w:val="24"/>
        </w:rPr>
        <w:t xml:space="preserve">чик – девочка, так как дети взаимодополняют </w:t>
      </w:r>
      <w:r w:rsidRPr="00167D89">
        <w:rPr>
          <w:rFonts w:ascii="Times New Roman" w:hAnsi="Times New Roman" w:cs="Times New Roman"/>
          <w:sz w:val="24"/>
          <w:szCs w:val="24"/>
        </w:rPr>
        <w:t>друг друга.</w:t>
      </w:r>
    </w:p>
    <w:p w14:paraId="1319A22F" w14:textId="77777777" w:rsidR="00D63453" w:rsidRPr="00167D89" w:rsidRDefault="00D63453" w:rsidP="00D634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ж) в начале занятия использовать игровые разминки, чтобы дать возможность мальчикам сконцентрировать внимание.</w:t>
      </w:r>
    </w:p>
    <w:p w14:paraId="596F9EC5" w14:textId="77777777" w:rsidR="00D63453" w:rsidRPr="00167D89" w:rsidRDefault="00D63453" w:rsidP="00D6345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и) при объяснении последовательности работы, следить за тем, чтобы оно было чётким, конкретным, понятным, особо немногословным. Особенно это важно для мальчиков.</w:t>
      </w:r>
    </w:p>
    <w:p w14:paraId="2A2AC029" w14:textId="77777777" w:rsidR="00D63453" w:rsidRDefault="00D63453" w:rsidP="00D634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AC182" w14:textId="77777777" w:rsidR="00D63453" w:rsidRPr="00167D89" w:rsidRDefault="00D63453" w:rsidP="00D634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167D89">
        <w:rPr>
          <w:rFonts w:ascii="Times New Roman" w:hAnsi="Times New Roman" w:cs="Times New Roman"/>
          <w:b/>
          <w:sz w:val="24"/>
          <w:szCs w:val="24"/>
        </w:rPr>
        <w:t>сихолого-педагогический портрет</w:t>
      </w:r>
    </w:p>
    <w:p w14:paraId="2E7E5F2F" w14:textId="77777777" w:rsidR="00D63453" w:rsidRPr="00167D89" w:rsidRDefault="00D63453" w:rsidP="00D634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927"/>
      </w:tblGrid>
      <w:tr w:rsidR="00D63453" w:rsidRPr="00167D89" w14:paraId="18A6CAD6" w14:textId="77777777" w:rsidTr="000A212D">
        <w:trPr>
          <w:trHeight w:val="447"/>
        </w:trPr>
        <w:tc>
          <w:tcPr>
            <w:tcW w:w="4854" w:type="dxa"/>
            <w:shd w:val="clear" w:color="auto" w:fill="auto"/>
          </w:tcPr>
          <w:p w14:paraId="41166870" w14:textId="77777777" w:rsidR="00D63453" w:rsidRPr="00167D89" w:rsidRDefault="00D63453" w:rsidP="000A212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4927" w:type="dxa"/>
            <w:shd w:val="clear" w:color="auto" w:fill="auto"/>
          </w:tcPr>
          <w:p w14:paraId="13B16CC7" w14:textId="77777777" w:rsidR="00D63453" w:rsidRPr="00167D89" w:rsidRDefault="00D63453" w:rsidP="000A212D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мальчики </w:t>
            </w:r>
          </w:p>
        </w:tc>
      </w:tr>
      <w:tr w:rsidR="00D63453" w:rsidRPr="00167D89" w14:paraId="58142E52" w14:textId="77777777" w:rsidTr="000A212D">
        <w:trPr>
          <w:trHeight w:val="214"/>
        </w:trPr>
        <w:tc>
          <w:tcPr>
            <w:tcW w:w="9781" w:type="dxa"/>
            <w:gridSpan w:val="2"/>
            <w:shd w:val="clear" w:color="auto" w:fill="auto"/>
          </w:tcPr>
          <w:p w14:paraId="51C04497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сфера интересов связана:</w:t>
            </w:r>
          </w:p>
        </w:tc>
      </w:tr>
      <w:tr w:rsidR="00D63453" w:rsidRPr="00167D89" w14:paraId="1745A411" w14:textId="77777777" w:rsidTr="000A212D">
        <w:trPr>
          <w:trHeight w:val="1667"/>
        </w:trPr>
        <w:tc>
          <w:tcPr>
            <w:tcW w:w="4854" w:type="dxa"/>
            <w:shd w:val="clear" w:color="auto" w:fill="auto"/>
          </w:tcPr>
          <w:p w14:paraId="1941D4FC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с человеком и сферой непосредственного бытия (взаимоотношения, окружающие предметы потребления, домашняя деятельность, создание уюта и комфорта, конкретизация действий, создание порядка и т.д.)</w:t>
            </w:r>
          </w:p>
        </w:tc>
        <w:tc>
          <w:tcPr>
            <w:tcW w:w="4927" w:type="dxa"/>
            <w:shd w:val="clear" w:color="auto" w:fill="auto"/>
          </w:tcPr>
          <w:p w14:paraId="0D948F2F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-с высокой двигательной и познавательной активностью, потребностью в преобразующей деятельности, пренебрежение существующим порядком;</w:t>
            </w:r>
          </w:p>
        </w:tc>
      </w:tr>
      <w:tr w:rsidR="00D63453" w:rsidRPr="00167D89" w14:paraId="3F529943" w14:textId="77777777" w:rsidTr="000A212D">
        <w:tc>
          <w:tcPr>
            <w:tcW w:w="9781" w:type="dxa"/>
            <w:gridSpan w:val="2"/>
            <w:shd w:val="clear" w:color="auto" w:fill="auto"/>
          </w:tcPr>
          <w:p w14:paraId="65B3D72C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пространства:</w:t>
            </w:r>
          </w:p>
        </w:tc>
      </w:tr>
      <w:tr w:rsidR="00D63453" w:rsidRPr="00167D89" w14:paraId="0A61D27F" w14:textId="77777777" w:rsidTr="000A212D">
        <w:tc>
          <w:tcPr>
            <w:tcW w:w="4854" w:type="dxa"/>
            <w:shd w:val="clear" w:color="auto" w:fill="auto"/>
          </w:tcPr>
          <w:p w14:paraId="5ECE76DB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направлена на контроль ограниченного пространства, </w:t>
            </w:r>
          </w:p>
          <w:p w14:paraId="31B28F65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тщательно прорабатывается и обозначается как пространство игры, так и пространство занятий (опыты Ж. Пиаже с детьми раннего возраста: расползание в стороны мальчиков, объединение в группы и кучки с обозначением границ игрушками и предметами у девочек);</w:t>
            </w:r>
          </w:p>
        </w:tc>
        <w:tc>
          <w:tcPr>
            <w:tcW w:w="4927" w:type="dxa"/>
            <w:shd w:val="clear" w:color="auto" w:fill="auto"/>
          </w:tcPr>
          <w:p w14:paraId="2A33D562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отсутствие ограничений пространства как в горизонтальной, так и вертикальной плоскости; в связи с чем многие детали непосредственного окружения ускользают от внимания, не замечаются перестановки, перемещаются предметы, создается кажущийся беспорядок, не отражаются в сознании;</w:t>
            </w:r>
          </w:p>
          <w:p w14:paraId="218DD337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как следствие, беспомощны в бытовых ситуациях, хуже приучаются к самообслуживанию;</w:t>
            </w:r>
          </w:p>
          <w:p w14:paraId="58ECAAD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используют все пространство;</w:t>
            </w:r>
          </w:p>
        </w:tc>
      </w:tr>
      <w:tr w:rsidR="00D63453" w:rsidRPr="00167D89" w14:paraId="365F5F90" w14:textId="77777777" w:rsidTr="000A212D">
        <w:tc>
          <w:tcPr>
            <w:tcW w:w="9781" w:type="dxa"/>
            <w:gridSpan w:val="2"/>
            <w:shd w:val="clear" w:color="auto" w:fill="auto"/>
          </w:tcPr>
          <w:p w14:paraId="65D4F8F3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отношение к вещам:</w:t>
            </w:r>
          </w:p>
        </w:tc>
      </w:tr>
      <w:tr w:rsidR="00D63453" w:rsidRPr="00167D89" w14:paraId="574BEE47" w14:textId="77777777" w:rsidTr="000A212D">
        <w:tc>
          <w:tcPr>
            <w:tcW w:w="4854" w:type="dxa"/>
            <w:shd w:val="clear" w:color="auto" w:fill="auto"/>
          </w:tcPr>
          <w:p w14:paraId="03E1F6A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лучше понимают назначение вещи, ее потребительскую ценность;</w:t>
            </w:r>
          </w:p>
        </w:tc>
        <w:tc>
          <w:tcPr>
            <w:tcW w:w="4927" w:type="dxa"/>
            <w:shd w:val="clear" w:color="auto" w:fill="auto"/>
          </w:tcPr>
          <w:p w14:paraId="0EBF0D67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лучше понимают устройство вещей, ломая – интересуются тем, что есть внутри, </w:t>
            </w:r>
          </w:p>
          <w:p w14:paraId="5271E183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 в различных целях, </w:t>
            </w:r>
          </w:p>
          <w:p w14:paraId="75E54829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сознательно находят неожиданное применение;</w:t>
            </w:r>
          </w:p>
          <w:p w14:paraId="780E4A79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используют предметы без особой бережливости и не по прямому назначению;</w:t>
            </w:r>
          </w:p>
        </w:tc>
      </w:tr>
      <w:tr w:rsidR="00D63453" w:rsidRPr="00167D89" w14:paraId="1EDF2DDD" w14:textId="77777777" w:rsidTr="000A212D">
        <w:tc>
          <w:tcPr>
            <w:tcW w:w="9781" w:type="dxa"/>
            <w:gridSpan w:val="2"/>
            <w:shd w:val="clear" w:color="auto" w:fill="auto"/>
          </w:tcPr>
          <w:p w14:paraId="17011068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включение в деятельность:</w:t>
            </w:r>
          </w:p>
        </w:tc>
      </w:tr>
      <w:tr w:rsidR="00D63453" w:rsidRPr="00167D89" w14:paraId="0FDF5FAD" w14:textId="77777777" w:rsidTr="000A212D">
        <w:tc>
          <w:tcPr>
            <w:tcW w:w="4854" w:type="dxa"/>
            <w:shd w:val="clear" w:color="auto" w:fill="auto"/>
          </w:tcPr>
          <w:p w14:paraId="72EF4715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быстрое, активное, </w:t>
            </w:r>
          </w:p>
          <w:p w14:paraId="6086DBA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проявляется выраженная потребность одобрения (взгляды, жесты, мимика и т.д.); </w:t>
            </w:r>
          </w:p>
          <w:p w14:paraId="30A471A7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-вопросы задаются не столько для организации работы, сколько для установления контакта;</w:t>
            </w:r>
          </w:p>
        </w:tc>
        <w:tc>
          <w:tcPr>
            <w:tcW w:w="4927" w:type="dxa"/>
            <w:shd w:val="clear" w:color="auto" w:fill="auto"/>
          </w:tcPr>
          <w:p w14:paraId="2FA8D60E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скорее физиологическое, чем психологическое, связанное с потребностью подготовиться, спланировать, дольше включаются, реже смотрят в лицо другого в процессе деятельности;</w:t>
            </w:r>
          </w:p>
          <w:p w14:paraId="7B28AE6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вопросы задают для получения информации,</w:t>
            </w:r>
          </w:p>
          <w:p w14:paraId="62B68A2A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не боятся ошибиться;</w:t>
            </w:r>
          </w:p>
        </w:tc>
      </w:tr>
      <w:tr w:rsidR="00D63453" w:rsidRPr="00167D89" w14:paraId="767F80A3" w14:textId="77777777" w:rsidTr="000A212D">
        <w:tc>
          <w:tcPr>
            <w:tcW w:w="9781" w:type="dxa"/>
            <w:gridSpan w:val="2"/>
            <w:shd w:val="clear" w:color="auto" w:fill="auto"/>
          </w:tcPr>
          <w:p w14:paraId="07663157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склонность к деятельности:</w:t>
            </w:r>
          </w:p>
        </w:tc>
      </w:tr>
      <w:tr w:rsidR="00D63453" w:rsidRPr="00167D89" w14:paraId="47C7484F" w14:textId="77777777" w:rsidTr="000A212D">
        <w:tc>
          <w:tcPr>
            <w:tcW w:w="4854" w:type="dxa"/>
            <w:shd w:val="clear" w:color="auto" w:fill="auto"/>
          </w:tcPr>
          <w:p w14:paraId="1476E999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попечительская, опекающая, менторская;</w:t>
            </w:r>
          </w:p>
          <w:p w14:paraId="30EC5A24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опора на ближнее действие;</w:t>
            </w:r>
          </w:p>
        </w:tc>
        <w:tc>
          <w:tcPr>
            <w:tcW w:w="4927" w:type="dxa"/>
            <w:shd w:val="clear" w:color="auto" w:fill="auto"/>
          </w:tcPr>
          <w:p w14:paraId="764ADC75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-подвижные, без правил;</w:t>
            </w:r>
          </w:p>
          <w:p w14:paraId="30F87C5A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опора на дальнюю перспективу;</w:t>
            </w:r>
          </w:p>
        </w:tc>
      </w:tr>
      <w:tr w:rsidR="00D63453" w:rsidRPr="00167D89" w14:paraId="521249B5" w14:textId="77777777" w:rsidTr="000A212D">
        <w:tc>
          <w:tcPr>
            <w:tcW w:w="9781" w:type="dxa"/>
            <w:gridSpan w:val="2"/>
            <w:shd w:val="clear" w:color="auto" w:fill="auto"/>
          </w:tcPr>
          <w:p w14:paraId="432DE0B5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конструкторские игры: </w:t>
            </w:r>
          </w:p>
        </w:tc>
      </w:tr>
      <w:tr w:rsidR="00D63453" w:rsidRPr="00167D89" w14:paraId="039D5096" w14:textId="77777777" w:rsidTr="000A212D">
        <w:tc>
          <w:tcPr>
            <w:tcW w:w="4854" w:type="dxa"/>
            <w:shd w:val="clear" w:color="auto" w:fill="auto"/>
          </w:tcPr>
          <w:p w14:paraId="22A2894F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с большим удовольствием работают по образцу, творчество ограничивается планом и названными правилами;</w:t>
            </w:r>
          </w:p>
        </w:tc>
        <w:tc>
          <w:tcPr>
            <w:tcW w:w="4927" w:type="dxa"/>
            <w:shd w:val="clear" w:color="auto" w:fill="auto"/>
          </w:tcPr>
          <w:p w14:paraId="507A6C65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изобретательность, масштабность, конструирование, проектирование с использованием всего пространства;</w:t>
            </w:r>
          </w:p>
        </w:tc>
      </w:tr>
      <w:tr w:rsidR="00D63453" w:rsidRPr="00167D89" w14:paraId="5AC51E8E" w14:textId="77777777" w:rsidTr="000A212D">
        <w:tc>
          <w:tcPr>
            <w:tcW w:w="9781" w:type="dxa"/>
            <w:gridSpan w:val="2"/>
            <w:shd w:val="clear" w:color="auto" w:fill="auto"/>
          </w:tcPr>
          <w:p w14:paraId="45294191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речь:</w:t>
            </w:r>
          </w:p>
        </w:tc>
      </w:tr>
      <w:tr w:rsidR="00D63453" w:rsidRPr="00167D89" w14:paraId="54EF9CE1" w14:textId="77777777" w:rsidTr="000A212D">
        <w:tc>
          <w:tcPr>
            <w:tcW w:w="4854" w:type="dxa"/>
            <w:shd w:val="clear" w:color="auto" w:fill="auto"/>
          </w:tcPr>
          <w:p w14:paraId="5732275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предметно-оценочная,</w:t>
            </w:r>
          </w:p>
          <w:p w14:paraId="3A1C3B2D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больше существительных, прилагательных, отрицаний и утверждений;</w:t>
            </w:r>
          </w:p>
        </w:tc>
        <w:tc>
          <w:tcPr>
            <w:tcW w:w="4927" w:type="dxa"/>
            <w:shd w:val="clear" w:color="auto" w:fill="auto"/>
          </w:tcPr>
          <w:p w14:paraId="68170FE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 больше слов, обозначающих отдаленные предметы и общие понятия;</w:t>
            </w:r>
          </w:p>
          <w:p w14:paraId="57C8FF1B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больше глаголов и междометий;</w:t>
            </w:r>
          </w:p>
        </w:tc>
      </w:tr>
      <w:tr w:rsidR="00D63453" w:rsidRPr="00167D89" w14:paraId="5DE713B0" w14:textId="77777777" w:rsidTr="000A212D">
        <w:tc>
          <w:tcPr>
            <w:tcW w:w="9781" w:type="dxa"/>
            <w:gridSpan w:val="2"/>
            <w:shd w:val="clear" w:color="auto" w:fill="auto"/>
          </w:tcPr>
          <w:p w14:paraId="07623710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мышления:</w:t>
            </w:r>
          </w:p>
        </w:tc>
      </w:tr>
      <w:tr w:rsidR="00D63453" w:rsidRPr="00167D89" w14:paraId="3DF7FCA2" w14:textId="77777777" w:rsidTr="000A212D">
        <w:tc>
          <w:tcPr>
            <w:tcW w:w="4854" w:type="dxa"/>
            <w:shd w:val="clear" w:color="auto" w:fill="auto"/>
          </w:tcPr>
          <w:p w14:paraId="04EB2D9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больше точности и целостности;</w:t>
            </w:r>
          </w:p>
          <w:p w14:paraId="4D40CDD9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более общий взгляд на предметы;</w:t>
            </w:r>
          </w:p>
          <w:p w14:paraId="4A25EF6C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более внушаемы, но и более решительны в действии;</w:t>
            </w:r>
          </w:p>
          <w:p w14:paraId="2C5EEA29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лучше выполняют знаковые задания, более тщательно дорабатывают установленные требования;</w:t>
            </w:r>
          </w:p>
          <w:p w14:paraId="5049FE43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более точно передают события, но с субъективным восприятием;</w:t>
            </w:r>
          </w:p>
          <w:p w14:paraId="41AC223D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большее внимание на личностную сторону событий;</w:t>
            </w:r>
          </w:p>
          <w:p w14:paraId="03AA461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нуждаются в понимании и постановке цели, конкретизированном задании, незнание – настораживает;</w:t>
            </w:r>
          </w:p>
        </w:tc>
        <w:tc>
          <w:tcPr>
            <w:tcW w:w="4927" w:type="dxa"/>
            <w:shd w:val="clear" w:color="auto" w:fill="auto"/>
          </w:tcPr>
          <w:p w14:paraId="364FC895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видят существенное;</w:t>
            </w:r>
          </w:p>
          <w:p w14:paraId="2DCEC902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-склонны к обобщениям, но меньше конкретизируют;</w:t>
            </w:r>
          </w:p>
          <w:p w14:paraId="71021323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больше желания к поисковой деятельности, новым заданиям;</w:t>
            </w:r>
          </w:p>
          <w:p w14:paraId="77A51581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менее качественно и менее тщательно выполняют задание;</w:t>
            </w:r>
          </w:p>
          <w:p w14:paraId="1336F65E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менее аккуратны и точны в оформлении результата;</w:t>
            </w:r>
          </w:p>
          <w:p w14:paraId="3E963B6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лучше ориентируются в незнакомой ситуации и воспринимают позитивно;</w:t>
            </w:r>
          </w:p>
          <w:p w14:paraId="2471D4A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более привлекают разнообразные виды деятельности, но менее организованы;</w:t>
            </w:r>
          </w:p>
        </w:tc>
      </w:tr>
      <w:tr w:rsidR="00D63453" w:rsidRPr="00167D89" w14:paraId="3CBA21BD" w14:textId="77777777" w:rsidTr="000A212D">
        <w:tc>
          <w:tcPr>
            <w:tcW w:w="9781" w:type="dxa"/>
            <w:gridSpan w:val="2"/>
            <w:shd w:val="clear" w:color="auto" w:fill="auto"/>
          </w:tcPr>
          <w:p w14:paraId="6DA3B741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усвоение нравственных норм:</w:t>
            </w:r>
          </w:p>
        </w:tc>
      </w:tr>
      <w:tr w:rsidR="00D63453" w:rsidRPr="00167D89" w14:paraId="4DFAE1E1" w14:textId="77777777" w:rsidTr="000A212D">
        <w:tc>
          <w:tcPr>
            <w:tcW w:w="4854" w:type="dxa"/>
            <w:shd w:val="clear" w:color="auto" w:fill="auto"/>
          </w:tcPr>
          <w:p w14:paraId="4BAD2381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понятия формируются несколько раньше, чем мальчики, любят соблюдать правила; </w:t>
            </w:r>
          </w:p>
          <w:p w14:paraId="4C37EF84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указывают другим, как надо делать; </w:t>
            </w:r>
          </w:p>
          <w:p w14:paraId="18EC8B20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любят опираться на авторитеты, которые для них очень важны; </w:t>
            </w:r>
          </w:p>
          <w:p w14:paraId="45A1FAE1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лучше приспосабливаются к ситуации, хотя в незнакомой обстановке поначалу теряются, но быстро находят себе место;</w:t>
            </w:r>
          </w:p>
        </w:tc>
        <w:tc>
          <w:tcPr>
            <w:tcW w:w="4927" w:type="dxa"/>
            <w:shd w:val="clear" w:color="auto" w:fill="auto"/>
          </w:tcPr>
          <w:p w14:paraId="722262AD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 прислушиваются к авторитетам;</w:t>
            </w:r>
          </w:p>
          <w:p w14:paraId="2C3077FE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не соблюдают нормы и правила;</w:t>
            </w:r>
          </w:p>
          <w:p w14:paraId="5A78098A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не придерживаются границ не из неуважения, а из-за насущной потребности </w:t>
            </w:r>
            <w:r w:rsidRPr="00167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действовать; не соблюдают конкретных правил;</w:t>
            </w:r>
          </w:p>
          <w:p w14:paraId="4A12CACC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склонны к преобразующей деятельности</w:t>
            </w:r>
          </w:p>
        </w:tc>
      </w:tr>
      <w:tr w:rsidR="00D63453" w:rsidRPr="00167D89" w14:paraId="3643AE96" w14:textId="77777777" w:rsidTr="000A212D">
        <w:tc>
          <w:tcPr>
            <w:tcW w:w="9781" w:type="dxa"/>
            <w:gridSpan w:val="2"/>
            <w:shd w:val="clear" w:color="auto" w:fill="auto"/>
          </w:tcPr>
          <w:p w14:paraId="2CB8528D" w14:textId="77777777" w:rsidR="00D63453" w:rsidRPr="00167D89" w:rsidRDefault="00D63453" w:rsidP="000A21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особенности воспитания:</w:t>
            </w:r>
          </w:p>
        </w:tc>
      </w:tr>
      <w:tr w:rsidR="00D63453" w:rsidRPr="00167D89" w14:paraId="15F2FF3E" w14:textId="77777777" w:rsidTr="000A212D">
        <w:tc>
          <w:tcPr>
            <w:tcW w:w="9781" w:type="dxa"/>
            <w:gridSpan w:val="2"/>
            <w:shd w:val="clear" w:color="auto" w:fill="auto"/>
          </w:tcPr>
          <w:p w14:paraId="5D8D6F48" w14:textId="77777777" w:rsidR="00D63453" w:rsidRPr="00167D89" w:rsidRDefault="00D63453" w:rsidP="000A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учитывать, что идентификация по полу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 </w:t>
            </w: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по достижении 2-3 лет;</w:t>
            </w:r>
          </w:p>
        </w:tc>
      </w:tr>
      <w:tr w:rsidR="00D63453" w:rsidRPr="00167D89" w14:paraId="17753E10" w14:textId="77777777" w:rsidTr="000A212D">
        <w:tc>
          <w:tcPr>
            <w:tcW w:w="9781" w:type="dxa"/>
            <w:gridSpan w:val="2"/>
            <w:shd w:val="clear" w:color="auto" w:fill="auto"/>
          </w:tcPr>
          <w:p w14:paraId="26369816" w14:textId="77777777" w:rsidR="00D63453" w:rsidRPr="00167D89" w:rsidRDefault="00D63453" w:rsidP="000A2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устойчивость гендерного само</w:t>
            </w: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восприятия формируется в 4-7 лет</w:t>
            </w:r>
          </w:p>
        </w:tc>
      </w:tr>
      <w:tr w:rsidR="00D63453" w:rsidRPr="00167D89" w14:paraId="58F0A2C9" w14:textId="77777777" w:rsidTr="000A212D">
        <w:tc>
          <w:tcPr>
            <w:tcW w:w="4854" w:type="dxa"/>
            <w:shd w:val="clear" w:color="auto" w:fill="auto"/>
          </w:tcPr>
          <w:p w14:paraId="07DABCE3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быстрее развивается левое полушарие (речь);</w:t>
            </w:r>
          </w:p>
        </w:tc>
        <w:tc>
          <w:tcPr>
            <w:tcW w:w="4927" w:type="dxa"/>
            <w:shd w:val="clear" w:color="auto" w:fill="auto"/>
          </w:tcPr>
          <w:p w14:paraId="6D8D1878" w14:textId="77777777" w:rsidR="00D63453" w:rsidRPr="00167D89" w:rsidRDefault="00D63453" w:rsidP="000A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9">
              <w:rPr>
                <w:rFonts w:ascii="Times New Roman" w:hAnsi="Times New Roman" w:cs="Times New Roman"/>
                <w:sz w:val="24"/>
                <w:szCs w:val="24"/>
              </w:rPr>
              <w:t>- дольше доминирует образно-чувственная сфера;</w:t>
            </w:r>
          </w:p>
        </w:tc>
      </w:tr>
    </w:tbl>
    <w:p w14:paraId="22A1E824" w14:textId="77777777" w:rsidR="00D63453" w:rsidRPr="00167D89" w:rsidRDefault="00D63453" w:rsidP="00D6345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 результате анализа психолого-педагогических исследований, было установлено, что именно в период дошкольного детства у всех детей, происходит принятие гендерной роли:</w:t>
      </w:r>
    </w:p>
    <w:p w14:paraId="38536EDE" w14:textId="77777777" w:rsidR="00D63453" w:rsidRPr="00167D89" w:rsidRDefault="00D63453" w:rsidP="00D634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к возрасту 2-3 лет дети начинают понимать, что они либо девочка, либо мальчик, и обозначают себя соответствующим образом;</w:t>
      </w:r>
    </w:p>
    <w:p w14:paraId="73D1008E" w14:textId="77777777" w:rsidR="00D63453" w:rsidRPr="00167D89" w:rsidRDefault="00D63453" w:rsidP="00D6345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sz w:val="24"/>
          <w:szCs w:val="24"/>
        </w:rPr>
        <w:t>в возрасте с 4 до 7 лет формируется гендерная устойчивость: детям становится понятно, что «гендер» не изменяется: мальчики становятся мужчинами, а девочки – женщинами и эта принадлежность к полу не изменится в зависимости от ситуации или личных желаний ребенка.</w:t>
      </w:r>
    </w:p>
    <w:p w14:paraId="340F337C" w14:textId="77777777" w:rsidR="00D63453" w:rsidRPr="00167D89" w:rsidRDefault="00D63453" w:rsidP="00D6345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67D89">
        <w:rPr>
          <w:rFonts w:ascii="Times New Roman" w:hAnsi="Times New Roman" w:cs="Times New Roman"/>
          <w:b/>
          <w:bCs/>
          <w:sz w:val="24"/>
          <w:szCs w:val="24"/>
        </w:rPr>
        <w:t>Гендерная социализация включает в себя три аспекта:</w:t>
      </w:r>
    </w:p>
    <w:p w14:paraId="4636E51A" w14:textId="77777777" w:rsidR="00D63453" w:rsidRPr="00167D89" w:rsidRDefault="00D63453" w:rsidP="00D634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915">
        <w:rPr>
          <w:rFonts w:ascii="Times New Roman" w:hAnsi="Times New Roman" w:cs="Times New Roman"/>
          <w:b/>
          <w:sz w:val="24"/>
          <w:szCs w:val="24"/>
        </w:rPr>
        <w:t>когнитивный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- ребенок рано начинает относить себя к определенному полу, приобретает представления о содержании типичного ролевого поведения (Д. Н. Исаев, В. Е. Каган, И. С. Кон, Т. А. Репина);</w:t>
      </w:r>
    </w:p>
    <w:p w14:paraId="42FFF41B" w14:textId="77777777" w:rsidR="00D63453" w:rsidRPr="00167D89" w:rsidRDefault="00D63453" w:rsidP="00D634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915">
        <w:rPr>
          <w:rFonts w:ascii="Times New Roman" w:hAnsi="Times New Roman" w:cs="Times New Roman"/>
          <w:b/>
          <w:sz w:val="24"/>
          <w:szCs w:val="24"/>
        </w:rPr>
        <w:t>эмоциональный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- поло-ролевые предпочтения, интересы, ценностные ориентации, реакции на оценку, проявление эмоций, связанных с формированием черт мужчины (мальчика) и </w:t>
      </w:r>
      <w:r>
        <w:rPr>
          <w:rFonts w:ascii="Times New Roman" w:hAnsi="Times New Roman" w:cs="Times New Roman"/>
          <w:sz w:val="24"/>
          <w:szCs w:val="24"/>
        </w:rPr>
        <w:t>женщины (девочки) (Д.</w:t>
      </w:r>
      <w:r w:rsidRPr="00167D8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Колесов, А.Е Ольшанникова, Н.Б. Сельверова, Т.</w:t>
      </w:r>
      <w:r w:rsidRPr="00167D89">
        <w:rPr>
          <w:rFonts w:ascii="Times New Roman" w:hAnsi="Times New Roman" w:cs="Times New Roman"/>
          <w:sz w:val="24"/>
          <w:szCs w:val="24"/>
        </w:rPr>
        <w:t>П. Хризман);</w:t>
      </w:r>
    </w:p>
    <w:p w14:paraId="70448B98" w14:textId="77777777" w:rsidR="00D63453" w:rsidRPr="00167D89" w:rsidRDefault="00D63453" w:rsidP="00D6345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915">
        <w:rPr>
          <w:rFonts w:ascii="Times New Roman" w:hAnsi="Times New Roman" w:cs="Times New Roman"/>
          <w:b/>
          <w:sz w:val="24"/>
          <w:szCs w:val="24"/>
        </w:rPr>
        <w:t>поведенческий</w:t>
      </w:r>
      <w:r w:rsidRPr="00167D89">
        <w:rPr>
          <w:rFonts w:ascii="Times New Roman" w:hAnsi="Times New Roman" w:cs="Times New Roman"/>
          <w:sz w:val="24"/>
          <w:szCs w:val="24"/>
        </w:rPr>
        <w:t xml:space="preserve"> –– усвоение типичной для пола модели поведения (И. С. Кон, Д. В. Колесов, Н. В. Плисенко, Т. А. Репина).</w:t>
      </w:r>
    </w:p>
    <w:p w14:paraId="42FEA857" w14:textId="10AC339E" w:rsidR="00271CB3" w:rsidRDefault="00D63453" w:rsidP="00D63453">
      <w:r w:rsidRPr="00167D89">
        <w:rPr>
          <w:rFonts w:ascii="Times New Roman" w:hAnsi="Times New Roman" w:cs="Times New Roman"/>
          <w:sz w:val="24"/>
          <w:szCs w:val="24"/>
        </w:rPr>
        <w:t>При совместном воспитании мальчиков и девочек очень важной педагогической задачей является преодоление разобщенности между ними и организация совместных игр, в процессе которых дети могли бы действовать сообща, но в соответствии с гендерными особенностями. Мальчики принимают на себя мужские роли, а девочки – женские.</w:t>
      </w:r>
      <w:bookmarkStart w:id="0" w:name="_GoBack"/>
      <w:bookmarkEnd w:id="0"/>
    </w:p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5450B"/>
    <w:multiLevelType w:val="hybridMultilevel"/>
    <w:tmpl w:val="FAE8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C1B79"/>
    <w:multiLevelType w:val="hybridMultilevel"/>
    <w:tmpl w:val="4486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45"/>
    <w:rsid w:val="00271CB3"/>
    <w:rsid w:val="008C3C45"/>
    <w:rsid w:val="00D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C7CFC-9A5F-44EC-9017-66AA7F95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4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Горбунова</dc:creator>
  <cp:keywords/>
  <dc:description/>
  <cp:lastModifiedBy>Анна Горбунова</cp:lastModifiedBy>
  <cp:revision>2</cp:revision>
  <dcterms:created xsi:type="dcterms:W3CDTF">2018-08-27T10:44:00Z</dcterms:created>
  <dcterms:modified xsi:type="dcterms:W3CDTF">2018-08-27T10:44:00Z</dcterms:modified>
</cp:coreProperties>
</file>